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0" w:rsidRDefault="007C1640" w:rsidP="007C1640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52628"/>
          <w:spacing w:val="-4"/>
          <w:kern w:val="36"/>
          <w:sz w:val="32"/>
          <w:szCs w:val="32"/>
          <w:lang w:eastAsia="ru-RU"/>
        </w:rPr>
      </w:pPr>
      <w:r w:rsidRPr="007C1640">
        <w:rPr>
          <w:rFonts w:ascii="Times New Roman" w:eastAsia="Times New Roman" w:hAnsi="Times New Roman" w:cs="Times New Roman"/>
          <w:b/>
          <w:color w:val="252628"/>
          <w:spacing w:val="-4"/>
          <w:kern w:val="36"/>
          <w:sz w:val="32"/>
          <w:szCs w:val="32"/>
          <w:lang w:eastAsia="ru-RU"/>
        </w:rPr>
        <w:t>Программы поддержки малого и среднего бизнеса в России</w:t>
      </w:r>
      <w:r>
        <w:rPr>
          <w:rFonts w:ascii="Times New Roman" w:eastAsia="Times New Roman" w:hAnsi="Times New Roman" w:cs="Times New Roman"/>
          <w:b/>
          <w:color w:val="252628"/>
          <w:spacing w:val="-4"/>
          <w:kern w:val="36"/>
          <w:sz w:val="32"/>
          <w:szCs w:val="32"/>
          <w:lang w:eastAsia="ru-RU"/>
        </w:rPr>
        <w:t>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52628"/>
          <w:spacing w:val="-4"/>
          <w:kern w:val="36"/>
          <w:sz w:val="32"/>
          <w:szCs w:val="32"/>
          <w:lang w:eastAsia="ru-RU"/>
        </w:rPr>
      </w:pP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Ввод санкций в 2022 году усложнил ведение бизнеса для многих компаний. Рассмотрим, какие меры поддержки для отечественного малого и среднего предпринимательства разработало государство.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</w:t>
      </w:r>
      <w:r w:rsidRPr="007C1640">
        <w:rPr>
          <w:rFonts w:ascii="Times New Roman" w:eastAsia="Times New Roman" w:hAnsi="Times New Roman" w:cs="Times New Roman"/>
          <w:color w:val="252628"/>
          <w:spacing w:val="-4"/>
          <w:sz w:val="28"/>
          <w:szCs w:val="28"/>
          <w:lang w:eastAsia="ru-RU"/>
        </w:rPr>
        <w:t>Какие компании входят в категорию «малый и средний бизнес»?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Прежде чем перейти к конкретным программам поддержки, разберёмся, кто же вправе их получить. Согласно федеральному закону № 209-ФЗ «О развитии малого и среднего предпринимательства в РФ», к субъектам малых и средних предприятий относятся: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  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коммерческие предприятия (хозяйственные общества, товарищества, партнерства), производственные и потребительские кооперативы (кроме государственных и муниципальных организаций)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крестьянские (фермерские) хозяйства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При этом субъекты должны соответствовать критериям, например: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2"/>
        <w:gridCol w:w="3046"/>
        <w:gridCol w:w="1597"/>
      </w:tblGrid>
      <w:tr w:rsidR="007C1640" w:rsidRPr="007C1640" w:rsidTr="007C1640">
        <w:trPr>
          <w:tblHeader/>
        </w:trPr>
        <w:tc>
          <w:tcPr>
            <w:tcW w:w="0" w:type="auto"/>
            <w:tcBorders>
              <w:top w:val="single" w:sz="4" w:space="0" w:color="999999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4" w:space="0" w:color="999999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Малый бизнес</w:t>
            </w:r>
          </w:p>
        </w:tc>
        <w:tc>
          <w:tcPr>
            <w:tcW w:w="0" w:type="auto"/>
            <w:tcBorders>
              <w:top w:val="single" w:sz="4" w:space="0" w:color="999999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бизнес</w:t>
            </w:r>
          </w:p>
        </w:tc>
      </w:tr>
      <w:tr w:rsidR="007C1640" w:rsidRPr="007C1640" w:rsidTr="007C16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хозяйственных обществ, товариществ, партнерств:</w:t>
            </w: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Общая доля участия в уставном/складочном капитале компании:</w:t>
            </w: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 РФ, её субъектов и муниципальных образований</w:t>
            </w: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 общественных и религиозных организаций</w:t>
            </w: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благотворительных или других </w:t>
            </w: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фондов (за исключением инвестиционных)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 превышает 25%</w:t>
            </w:r>
          </w:p>
        </w:tc>
      </w:tr>
      <w:tr w:rsidR="007C1640" w:rsidRPr="007C1640" w:rsidTr="007C16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участия в уставном/складочном капитале зарубежных юридических лиц, которые не являются представителями малого или среднего бизнеса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превышает 49%</w:t>
            </w:r>
          </w:p>
        </w:tc>
      </w:tr>
      <w:tr w:rsidR="007C1640" w:rsidRPr="007C1640" w:rsidTr="007C16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сотрудников за предыдущий год составляет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до 15 человек (для микропредприятий)</w:t>
            </w: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 до 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101 до 250 человек</w:t>
            </w:r>
          </w:p>
        </w:tc>
      </w:tr>
      <w:tr w:rsidR="007C1640" w:rsidRPr="007C1640" w:rsidTr="007C16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за предыдущий год не превышает предельных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до 120 </w:t>
            </w:r>
            <w:proofErr w:type="gramStart"/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(для микропредприятий)</w:t>
            </w: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 до 800 млн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C1640" w:rsidRPr="007C1640" w:rsidRDefault="007C1640" w:rsidP="007C16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2 </w:t>
            </w:r>
            <w:proofErr w:type="gramStart"/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proofErr w:type="gramEnd"/>
            <w:r w:rsidRPr="007C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Категория субъекта малого и среднего бизнеса меняется, если организация не соблюдает указанные в таблице предельные значения в течение трёх лет подряд.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Перечень мер поддержки</w:t>
      </w:r>
      <w:r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Для поддержки малого и среднего предпринимательства (МСП) правительство РФ разработало комплекс мер. В этот перечень входят: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программы льготного кредитования бизнеса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поддержка строительной отрасли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поручительства и гарантии для получения кредита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кредитные каникулы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урегулирование задолженности и реструктуризация займов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lastRenderedPageBreak/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компенсация комиссий за расчёты по СБП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поддержка IT-компаний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ввод мораториев на проведение плановых проверок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содействие экспортёрам в транспортировке, размещении и хранении товаров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льготы на ввоз продуктов, а также легализация параллельного импорта для 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-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уникальных иностранных товаров (разрешение правообладателей на это не требуется) и многие другие.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Рассмотрим некоторые из них детальнее.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Программы льготного кредитования</w:t>
      </w:r>
      <w:r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Наиболее известными федеральными программами являются: «ПСК Инвестиционная» (в рамках </w:t>
      </w: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Программы стимулирования кредитования субъектов малого</w:t>
      </w:r>
      <w:proofErr w:type="gramEnd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и среднего предпринимательства АО «Корпорации «МСП»), «1764» (в рамках Постановления Правительства РФ от 30.12.2018 № 1764) и «Инвестиционный льготный кредит» (совмещает программы «ПСК Инвестиционная» и «1764»).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</w:t>
      </w:r>
      <w:hyperlink r:id="rId4" w:history="1">
        <w:r w:rsidRPr="007C164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Получить кредит</w:t>
        </w:r>
      </w:hyperlink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 имеют право компании малого и среднего бизнеса, индивидуальные предприниматели и самозанятые, которые работают </w:t>
      </w: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в</w:t>
      </w:r>
      <w:proofErr w:type="gramEnd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: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торговой сфере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сельском </w:t>
      </w: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хозяйстве</w:t>
      </w:r>
      <w:proofErr w:type="gramEnd"/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туризме</w:t>
      </w:r>
      <w:proofErr w:type="gramEnd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внутри страны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научно-технической сфере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здравоохранении</w:t>
      </w:r>
      <w:proofErr w:type="gramEnd"/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образовании</w:t>
      </w:r>
      <w:proofErr w:type="gramEnd"/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обрабатывающей промышленности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ресторанном </w:t>
      </w: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бизнесе</w:t>
      </w:r>
      <w:proofErr w:type="gramEnd"/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сфере бытовых услу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г.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Приведём основные требования программ. Организация должна: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обладать статусом налогового резидента РФ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входить в </w:t>
      </w:r>
      <w:hyperlink r:id="rId5" w:tgtFrame="_blank" w:history="1">
        <w:r w:rsidRPr="007C164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единый реестр субъектов МСП</w:t>
        </w:r>
      </w:hyperlink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являться субъектом МСП или «самозанятым» (в зависимости от цели кредита)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lastRenderedPageBreak/>
        <w:t>не проходить процедуру банкротств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а.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Целью получения кредита может быть: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sym w:font="Symbol" w:char="F0BE"/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инвестиции, кредит выдается на срок до 10 лет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sym w:font="Symbol" w:char="F0BE"/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пополнение оборотных средств, предоставляется на срок до 3 лет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sym w:font="Symbol" w:char="F0BE"/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рефинансирование существующего кредита, срок не может превышать срок первоначального кредита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sym w:font="Symbol" w:char="F0BE"/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развитие бизнеса, средства можно получить на срок до 3 лет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Сроки указаны в рамках программы «1764».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Полный перечень требований к заемщикам и кредитным договорам установлен каждой программой.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Поручительства и гарантии под кредитные обязательства</w:t>
      </w:r>
      <w:r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   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Если у бизнеса нет достаточного обеспечения для нового, в том числе, льготного кредита (например, имущества для предоставления в залог), то он может использовать один из трёх вариантов получения поддержки.</w:t>
      </w:r>
    </w:p>
    <w:p w:rsidR="007C1640" w:rsidRPr="007C1640" w:rsidRDefault="007C1640" w:rsidP="007C164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.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«Зонтичный» механизм от Корпорации МСП представляет собой выдачу Корпорацией поручительства, которое покрывает не более 50% кредита, а общая сумма поддержки (поручительства) от фонда на одну компанию не может превышать 1 </w:t>
      </w: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млрд</w:t>
      </w:r>
      <w:proofErr w:type="gramEnd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рублей. Поручительство предоставляется по кредитам, срок которых не более 180 месяцев.</w:t>
      </w:r>
    </w:p>
    <w:p w:rsidR="007C1640" w:rsidRPr="007C1640" w:rsidRDefault="007C1640" w:rsidP="007C164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.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Размер гарантии и обеспечения регрессных требований устанавливается договором о предоставлении гарантии.</w:t>
      </w:r>
    </w:p>
    <w:p w:rsidR="007C1640" w:rsidRPr="007C1640" w:rsidRDefault="007C1640" w:rsidP="007C164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.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Поручительство региональных гарантийных организаций (РГО), которые присутствуют в каждом регионе России. РГО вправе выделить на единовременно выдаваемое поручительство до 25 </w:t>
      </w: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млн</w:t>
      </w:r>
      <w:proofErr w:type="gramEnd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, либо до 100 млн рублей (в зависимости от размера капитала РГО). Возможно использование механизма «согарантии», когда одновременно используются поручительство РГО и независимая гарантия Корпорации МСП. Так, молодые и начинающие бизнесмены могут получить до 90% обеспечения по своим обязательствам за счет использования «согарантии».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Корпорация МСП — федеральный </w:t>
      </w: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lastRenderedPageBreak/>
        <w:t>институт, созданный для помощи и развития малого и среднего бизнеса. Подробнее о центре поддержки можно прочитать на </w:t>
      </w:r>
      <w:hyperlink r:id="rId6" w:tgtFrame="_blank" w:history="1">
        <w:r w:rsidRPr="007C164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сайте корпорации</w:t>
        </w:r>
      </w:hyperlink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.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Поддержка IT-компаний</w:t>
      </w:r>
      <w:r>
        <w:rPr>
          <w:rFonts w:ascii="Times New Roman" w:eastAsia="Times New Roman" w:hAnsi="Times New Roman" w:cs="Times New Roman"/>
          <w:b/>
          <w:color w:val="252628"/>
          <w:spacing w:val="-4"/>
          <w:sz w:val="28"/>
          <w:szCs w:val="28"/>
          <w:lang w:eastAsia="ru-RU"/>
        </w:rPr>
        <w:t>.</w:t>
      </w:r>
    </w:p>
    <w:p w:rsidR="007C1640" w:rsidRPr="007C1640" w:rsidRDefault="007C1640" w:rsidP="007C164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Государство подготовило меры, которые ускорят темпы развития IT-отрасли в стране, к ним относятся: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нулевая ставка по налогу на прибыль до конца 2024 года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ежегодное предоставление грантов для поддержки разработок </w:t>
      </w:r>
      <w:proofErr w:type="gramStart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российский</w:t>
      </w:r>
      <w:proofErr w:type="gramEnd"/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 xml:space="preserve"> IT-продуктов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освобождение всех плановых видов надзора на 3 года</w:t>
      </w:r>
    </w:p>
    <w:p w:rsidR="007C1640" w:rsidRPr="007C1640" w:rsidRDefault="007C1640" w:rsidP="007C16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меры финансовой поддержки сотрудников IT-организаций: льготная ипотека для сотрудников IT, отсрочка от призыва на период работы в IT-компании и другие</w:t>
      </w:r>
    </w:p>
    <w:p w:rsidR="007C1640" w:rsidRPr="007C1640" w:rsidRDefault="007C1640" w:rsidP="007C164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</w:pPr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Государство поддерживает как новые, так и существующие предпринимательства. Это создаёт все необходимые условия для создания и развития бизнеса в России. Всего правительство разработало более 60 программ поддержки. Ознакомьтесь с их полным перечнем на портале </w:t>
      </w:r>
      <w:hyperlink r:id="rId7" w:tgtFrame="_blank" w:history="1">
        <w:r w:rsidRPr="007C164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мойбизнес</w:t>
        </w:r>
        <w:proofErr w:type="gramStart"/>
        <w:r w:rsidRPr="007C164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.р</w:t>
        </w:r>
        <w:proofErr w:type="gramEnd"/>
        <w:r w:rsidRPr="007C164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ф</w:t>
        </w:r>
      </w:hyperlink>
      <w:r w:rsidRPr="007C1640"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 и выберите подходящие вашей сфере программы. Вы можете получить дополнительную информацию по мерам поддержки в центрах</w:t>
      </w:r>
      <w:r>
        <w:rPr>
          <w:rFonts w:ascii="Times New Roman" w:eastAsia="Times New Roman" w:hAnsi="Times New Roman" w:cs="Times New Roman"/>
          <w:color w:val="252628"/>
          <w:spacing w:val="-1"/>
          <w:sz w:val="28"/>
          <w:szCs w:val="28"/>
          <w:lang w:eastAsia="ru-RU"/>
        </w:rPr>
        <w:t>.</w:t>
      </w:r>
    </w:p>
    <w:p w:rsidR="0031391B" w:rsidRPr="007C1640" w:rsidRDefault="0031391B" w:rsidP="007C16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391B" w:rsidRPr="007C1640" w:rsidSect="0031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640"/>
    <w:rsid w:val="0031391B"/>
    <w:rsid w:val="007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B"/>
  </w:style>
  <w:style w:type="paragraph" w:styleId="1">
    <w:name w:val="heading 1"/>
    <w:basedOn w:val="a"/>
    <w:link w:val="10"/>
    <w:uiPriority w:val="9"/>
    <w:qFormat/>
    <w:rsid w:val="007C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g-articlestext">
    <w:name w:val="blog-articles__text"/>
    <w:basedOn w:val="a"/>
    <w:rsid w:val="007C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640"/>
    <w:rPr>
      <w:color w:val="0000FF"/>
      <w:u w:val="single"/>
    </w:rPr>
  </w:style>
  <w:style w:type="character" w:customStyle="1" w:styleId="text-bold">
    <w:name w:val="text-bold"/>
    <w:basedOn w:val="a0"/>
    <w:rsid w:val="007C1640"/>
  </w:style>
  <w:style w:type="paragraph" w:styleId="a4">
    <w:name w:val="Balloon Text"/>
    <w:basedOn w:val="a"/>
    <w:link w:val="a5"/>
    <w:uiPriority w:val="99"/>
    <w:semiHidden/>
    <w:unhideWhenUsed/>
    <w:rsid w:val="007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66">
          <w:marLeft w:val="0"/>
          <w:marRight w:val="0"/>
          <w:marTop w:val="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8703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49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4019">
          <w:marLeft w:val="0"/>
          <w:marRight w:val="0"/>
          <w:marTop w:val="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76911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4645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03493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4217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724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3203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9859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0733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6848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009860">
          <w:marLeft w:val="0"/>
          <w:marRight w:val="0"/>
          <w:marTop w:val="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1024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7240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750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814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13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7334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6155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24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203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3213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654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707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1354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3749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5131">
          <w:marLeft w:val="0"/>
          <w:marRight w:val="0"/>
          <w:marTop w:val="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727">
          <w:marLeft w:val="0"/>
          <w:marRight w:val="0"/>
          <w:marTop w:val="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455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9495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1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5155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6542">
          <w:marLeft w:val="0"/>
          <w:marRight w:val="0"/>
          <w:marTop w:val="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54849">
          <w:marLeft w:val="0"/>
          <w:marRight w:val="0"/>
          <w:marTop w:val="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90aifddrld7a.xn--p1ai/anticri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hyperlink" Target="https://domrfbank.ru/sme/credi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955</Words>
  <Characters>5447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2024-03-14T08:40:00Z</dcterms:created>
  <dcterms:modified xsi:type="dcterms:W3CDTF">2024-03-14T08:51:00Z</dcterms:modified>
</cp:coreProperties>
</file>