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9" w:rsidRDefault="00E64C59" w:rsidP="00132B58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177800</wp:posOffset>
            </wp:positionV>
            <wp:extent cx="485775" cy="6197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204">
        <w:rPr>
          <w:color w:val="000000"/>
          <w:sz w:val="28"/>
          <w:szCs w:val="28"/>
        </w:rPr>
        <w:t>ПРОЕКТ</w:t>
      </w:r>
    </w:p>
    <w:p w:rsidR="003D4546" w:rsidRDefault="003D4546" w:rsidP="00132B58">
      <w:pPr>
        <w:rPr>
          <w:color w:val="000000"/>
          <w:sz w:val="28"/>
          <w:szCs w:val="28"/>
        </w:rPr>
      </w:pPr>
    </w:p>
    <w:p w:rsidR="003D4546" w:rsidRDefault="003D4546" w:rsidP="00132B58">
      <w:pPr>
        <w:rPr>
          <w:color w:val="000000"/>
          <w:sz w:val="28"/>
          <w:szCs w:val="28"/>
        </w:rPr>
      </w:pPr>
    </w:p>
    <w:p w:rsidR="003D4546" w:rsidRDefault="003D4546" w:rsidP="00132B58">
      <w:pPr>
        <w:rPr>
          <w:color w:val="000000"/>
          <w:sz w:val="28"/>
          <w:szCs w:val="28"/>
        </w:rPr>
      </w:pP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РОССИЙСКАЯ ФЕДЕРАЦИЯ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РОСТОВСКАЯ ОБЛАСТЬ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ЦИМЛЯНСКИЙ РАЙОН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МУНИЦИПАЛЬНОЕ ОБРАЗОВАНИЕ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«ЛОЗНОВСКОЕ СЕЛЬСКОЕ ПОСЕЛЕНИЕ»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</w:p>
    <w:p w:rsidR="00E64C59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СОБРАНИЕ ДЕПУТАТОВ</w:t>
      </w:r>
      <w:r>
        <w:rPr>
          <w:color w:val="000000"/>
          <w:sz w:val="28"/>
          <w:szCs w:val="28"/>
        </w:rPr>
        <w:t xml:space="preserve"> </w:t>
      </w:r>
      <w:r w:rsidRPr="00764406">
        <w:rPr>
          <w:color w:val="000000"/>
          <w:sz w:val="28"/>
          <w:szCs w:val="28"/>
        </w:rPr>
        <w:t>ЛОЗНОВСКОГО СЕЛЬСКОГО ПОСЕЛЕНИЯ</w:t>
      </w:r>
    </w:p>
    <w:p w:rsidR="00E64C59" w:rsidRPr="00E64C59" w:rsidRDefault="00E64C59" w:rsidP="00E64C59">
      <w:pPr>
        <w:jc w:val="center"/>
        <w:rPr>
          <w:color w:val="000000"/>
          <w:sz w:val="28"/>
          <w:szCs w:val="28"/>
        </w:rPr>
      </w:pPr>
    </w:p>
    <w:p w:rsidR="00E64C59" w:rsidRDefault="00E64C59" w:rsidP="00E64C5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РЕШЕНИЕ</w:t>
      </w:r>
    </w:p>
    <w:p w:rsidR="00E64C59" w:rsidRPr="00764406" w:rsidRDefault="00F32204" w:rsidP="00E64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__.12.2024</w:t>
      </w:r>
      <w:r w:rsidR="00E64C59" w:rsidRPr="00764406">
        <w:rPr>
          <w:color w:val="000000"/>
          <w:sz w:val="28"/>
          <w:szCs w:val="28"/>
        </w:rPr>
        <w:t xml:space="preserve">               </w:t>
      </w:r>
      <w:r w:rsidR="00E64C5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№ ___</w:t>
      </w:r>
      <w:r w:rsidR="00E64C59" w:rsidRPr="00764406">
        <w:rPr>
          <w:color w:val="000000"/>
          <w:sz w:val="28"/>
          <w:szCs w:val="28"/>
        </w:rPr>
        <w:t xml:space="preserve">                                           х. Лозной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E64C59" w:rsidRPr="00764406" w:rsidTr="00A61008">
        <w:trPr>
          <w:trHeight w:val="321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59" w:rsidRPr="00764406" w:rsidRDefault="00E64C59" w:rsidP="00A61008">
            <w:pPr>
              <w:jc w:val="both"/>
              <w:rPr>
                <w:sz w:val="28"/>
                <w:szCs w:val="28"/>
              </w:rPr>
            </w:pPr>
            <w:r w:rsidRPr="00764406">
              <w:rPr>
                <w:sz w:val="28"/>
                <w:szCs w:val="28"/>
              </w:rPr>
              <w:t>Об утверждении дополнительного с</w:t>
            </w:r>
            <w:r w:rsidRPr="00764406">
              <w:rPr>
                <w:bCs/>
                <w:sz w:val="28"/>
                <w:szCs w:val="28"/>
              </w:rPr>
              <w:t>оглашения</w:t>
            </w:r>
            <w:r w:rsidR="00F32204">
              <w:rPr>
                <w:bCs/>
                <w:sz w:val="28"/>
                <w:szCs w:val="28"/>
              </w:rPr>
              <w:t xml:space="preserve"> от 01.11.2024 № 4</w:t>
            </w:r>
            <w:r w:rsidRPr="00764406">
              <w:rPr>
                <w:bCs/>
                <w:sz w:val="28"/>
                <w:szCs w:val="28"/>
              </w:rPr>
              <w:t xml:space="preserve"> к Соглашению от 17.12.2020 № 2/3 о передаче Администрацией Лозновского сельского поселения</w:t>
            </w:r>
            <w:r w:rsidRPr="00764406">
              <w:rPr>
                <w:b/>
                <w:bCs/>
                <w:sz w:val="28"/>
                <w:szCs w:val="28"/>
              </w:rPr>
              <w:t xml:space="preserve"> </w:t>
            </w:r>
            <w:r w:rsidRPr="00764406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организации ритуальных услуг в части создания специализированной служб</w:t>
            </w:r>
            <w:r>
              <w:rPr>
                <w:bCs/>
                <w:sz w:val="28"/>
                <w:szCs w:val="28"/>
              </w:rPr>
              <w:t>ы по вопросам похоронного дела</w:t>
            </w:r>
          </w:p>
        </w:tc>
      </w:tr>
    </w:tbl>
    <w:p w:rsidR="00E64C59" w:rsidRDefault="00E64C59" w:rsidP="00E64C59">
      <w:pPr>
        <w:rPr>
          <w:color w:val="000000"/>
          <w:sz w:val="28"/>
          <w:szCs w:val="28"/>
        </w:rPr>
      </w:pPr>
    </w:p>
    <w:p w:rsidR="00E64C59" w:rsidRPr="00764406" w:rsidRDefault="00E64C59" w:rsidP="00E606ED">
      <w:pPr>
        <w:ind w:firstLine="851"/>
        <w:jc w:val="both"/>
      </w:pPr>
      <w:proofErr w:type="gramStart"/>
      <w:r w:rsidRPr="0076440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«Лозновское сельское поселение», решением Собрания депутатов Лозновского сельского поселения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 и Администрацией Цимлянского района», Собрание депутатов Лозновского</w:t>
      </w:r>
      <w:proofErr w:type="gramEnd"/>
      <w:r w:rsidRPr="00764406">
        <w:rPr>
          <w:sz w:val="28"/>
          <w:szCs w:val="28"/>
        </w:rPr>
        <w:t xml:space="preserve"> сельского поселения</w:t>
      </w:r>
    </w:p>
    <w:p w:rsidR="00E64C59" w:rsidRPr="00764406" w:rsidRDefault="00E64C59" w:rsidP="00E64C59">
      <w:pPr>
        <w:jc w:val="center"/>
        <w:rPr>
          <w:sz w:val="28"/>
          <w:szCs w:val="28"/>
        </w:rPr>
      </w:pPr>
      <w:r w:rsidRPr="00764406">
        <w:rPr>
          <w:sz w:val="28"/>
          <w:szCs w:val="28"/>
        </w:rPr>
        <w:t>РЕШИЛО:</w:t>
      </w:r>
    </w:p>
    <w:p w:rsidR="00E64C59" w:rsidRPr="00764406" w:rsidRDefault="00E64C59" w:rsidP="00E64C5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4406">
        <w:rPr>
          <w:sz w:val="28"/>
          <w:szCs w:val="28"/>
        </w:rPr>
        <w:t>Утвердить дополнительное согл</w:t>
      </w:r>
      <w:r w:rsidR="00F32204">
        <w:rPr>
          <w:sz w:val="28"/>
          <w:szCs w:val="28"/>
        </w:rPr>
        <w:t>ашение от 01.11.2024</w:t>
      </w:r>
      <w:r>
        <w:rPr>
          <w:sz w:val="28"/>
          <w:szCs w:val="28"/>
        </w:rPr>
        <w:t xml:space="preserve"> </w:t>
      </w:r>
      <w:r w:rsidR="00F32204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Pr="00764406">
        <w:rPr>
          <w:sz w:val="28"/>
          <w:szCs w:val="28"/>
        </w:rPr>
        <w:t>к Соглашению от 17.12.2020 № 2/3</w:t>
      </w:r>
      <w:r>
        <w:rPr>
          <w:sz w:val="28"/>
          <w:szCs w:val="28"/>
        </w:rPr>
        <w:t xml:space="preserve"> </w:t>
      </w:r>
      <w:r w:rsidRPr="00764406">
        <w:rPr>
          <w:sz w:val="28"/>
          <w:szCs w:val="28"/>
        </w:rPr>
        <w:t xml:space="preserve">о передаче Администрацией Лозновского сельского поселения Администрации Цимлянского района полномочий по осуществлению </w:t>
      </w:r>
      <w:r w:rsidRPr="00764406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</w:t>
      </w:r>
      <w:r>
        <w:rPr>
          <w:color w:val="000000"/>
          <w:spacing w:val="-3"/>
          <w:sz w:val="28"/>
          <w:szCs w:val="24"/>
          <w:lang w:eastAsia="ar-SA"/>
        </w:rPr>
        <w:t>бы по вопросам похоронного дела</w:t>
      </w:r>
      <w:r w:rsidRPr="00764406">
        <w:rPr>
          <w:sz w:val="28"/>
          <w:szCs w:val="28"/>
        </w:rPr>
        <w:t xml:space="preserve"> (прилагается).</w:t>
      </w:r>
    </w:p>
    <w:p w:rsidR="00E64C59" w:rsidRDefault="00E64C59" w:rsidP="00E64C59">
      <w:pPr>
        <w:ind w:firstLine="709"/>
        <w:jc w:val="both"/>
        <w:rPr>
          <w:sz w:val="28"/>
          <w:szCs w:val="28"/>
        </w:rPr>
      </w:pPr>
      <w:r w:rsidRPr="00764406">
        <w:rPr>
          <w:sz w:val="28"/>
          <w:szCs w:val="28"/>
        </w:rPr>
        <w:t xml:space="preserve">2. </w:t>
      </w:r>
      <w:r w:rsidR="00341A3E" w:rsidRPr="00341A3E">
        <w:rPr>
          <w:sz w:val="28"/>
          <w:szCs w:val="28"/>
        </w:rPr>
        <w:t>Настоящее решение вступает в силу со дня его официального опубл</w:t>
      </w:r>
      <w:r w:rsidR="00F32204">
        <w:rPr>
          <w:sz w:val="28"/>
          <w:szCs w:val="28"/>
        </w:rPr>
        <w:t>икования, но не ранее 01.01.2025</w:t>
      </w:r>
      <w:r w:rsidR="00341A3E" w:rsidRPr="00341A3E">
        <w:rPr>
          <w:sz w:val="28"/>
          <w:szCs w:val="28"/>
        </w:rPr>
        <w:t xml:space="preserve"> и подлежит размещению на официальном сайте Администрации Лозновского сельского поселения.</w:t>
      </w:r>
    </w:p>
    <w:p w:rsidR="00341A3E" w:rsidRPr="00764406" w:rsidRDefault="00341A3E" w:rsidP="00E64C59">
      <w:pPr>
        <w:ind w:firstLine="709"/>
        <w:jc w:val="both"/>
        <w:rPr>
          <w:sz w:val="28"/>
          <w:szCs w:val="28"/>
        </w:rPr>
      </w:pPr>
    </w:p>
    <w:p w:rsidR="00E64C59" w:rsidRPr="00764406" w:rsidRDefault="00E64C59" w:rsidP="00E64C59">
      <w:pPr>
        <w:jc w:val="both"/>
        <w:rPr>
          <w:sz w:val="28"/>
          <w:szCs w:val="28"/>
        </w:rPr>
      </w:pPr>
      <w:r w:rsidRPr="00764406">
        <w:rPr>
          <w:sz w:val="28"/>
          <w:szCs w:val="28"/>
        </w:rPr>
        <w:t>Председатель Собрания депутатов-</w:t>
      </w:r>
    </w:p>
    <w:p w:rsidR="00E64C59" w:rsidRDefault="00E64C59" w:rsidP="00E64C59">
      <w:pPr>
        <w:jc w:val="both"/>
        <w:rPr>
          <w:sz w:val="28"/>
          <w:szCs w:val="28"/>
        </w:rPr>
      </w:pPr>
      <w:r w:rsidRPr="00764406">
        <w:rPr>
          <w:sz w:val="28"/>
          <w:szCs w:val="28"/>
        </w:rPr>
        <w:t xml:space="preserve">Глава Лозновского сельского поселения                 </w:t>
      </w:r>
      <w:r w:rsidR="00341A3E">
        <w:rPr>
          <w:sz w:val="28"/>
          <w:szCs w:val="28"/>
        </w:rPr>
        <w:t xml:space="preserve">         </w:t>
      </w:r>
      <w:r w:rsidRPr="00764406">
        <w:rPr>
          <w:sz w:val="28"/>
          <w:szCs w:val="28"/>
        </w:rPr>
        <w:t xml:space="preserve">          С.Л. Хухлаев</w:t>
      </w:r>
    </w:p>
    <w:p w:rsidR="00F32204" w:rsidRPr="00F32204" w:rsidRDefault="00F32204" w:rsidP="00F32204">
      <w:pPr>
        <w:shd w:val="clear" w:color="auto" w:fill="FFFFFF"/>
        <w:suppressAutoHyphens/>
        <w:jc w:val="right"/>
        <w:rPr>
          <w:color w:val="000000"/>
          <w:spacing w:val="-3"/>
          <w:sz w:val="28"/>
          <w:szCs w:val="24"/>
          <w:lang w:eastAsia="ar-SA"/>
        </w:rPr>
      </w:pPr>
      <w:r w:rsidRPr="00F32204">
        <w:rPr>
          <w:color w:val="000000"/>
          <w:spacing w:val="-3"/>
          <w:sz w:val="28"/>
          <w:szCs w:val="24"/>
          <w:lang w:eastAsia="ar-SA"/>
        </w:rPr>
        <w:lastRenderedPageBreak/>
        <w:t>Приложение к решению</w:t>
      </w:r>
    </w:p>
    <w:p w:rsidR="00F32204" w:rsidRDefault="00F32204" w:rsidP="00F32204">
      <w:pPr>
        <w:shd w:val="clear" w:color="auto" w:fill="FFFFFF"/>
        <w:suppressAutoHyphens/>
        <w:jc w:val="right"/>
        <w:rPr>
          <w:color w:val="000000"/>
          <w:spacing w:val="-3"/>
          <w:sz w:val="28"/>
          <w:szCs w:val="24"/>
          <w:lang w:eastAsia="ar-SA"/>
        </w:rPr>
      </w:pPr>
      <w:r w:rsidRPr="00F32204">
        <w:rPr>
          <w:color w:val="000000"/>
          <w:spacing w:val="-3"/>
          <w:sz w:val="28"/>
          <w:szCs w:val="24"/>
          <w:lang w:eastAsia="ar-SA"/>
        </w:rPr>
        <w:t>от __.12.2024 №___</w:t>
      </w:r>
    </w:p>
    <w:p w:rsidR="00F32204" w:rsidRPr="00F32204" w:rsidRDefault="00E64C59" w:rsidP="00F32204">
      <w:pPr>
        <w:shd w:val="clear" w:color="auto" w:fill="FFFFFF"/>
        <w:suppressAutoHyphens/>
        <w:jc w:val="center"/>
        <w:rPr>
          <w:color w:val="000000"/>
          <w:spacing w:val="-3"/>
          <w:sz w:val="28"/>
          <w:szCs w:val="24"/>
          <w:lang w:eastAsia="ar-SA"/>
        </w:rPr>
      </w:pPr>
      <w:r>
        <w:rPr>
          <w:sz w:val="28"/>
          <w:szCs w:val="28"/>
        </w:rPr>
        <w:br/>
      </w:r>
      <w:r w:rsidR="00F32204" w:rsidRPr="00C17B61">
        <w:rPr>
          <w:sz w:val="28"/>
          <w:szCs w:val="28"/>
        </w:rPr>
        <w:t>Дополнительное соглашение</w:t>
      </w:r>
      <w:r w:rsidR="00F32204">
        <w:rPr>
          <w:sz w:val="28"/>
          <w:szCs w:val="28"/>
        </w:rPr>
        <w:t xml:space="preserve"> № 4</w:t>
      </w:r>
    </w:p>
    <w:p w:rsidR="00F32204" w:rsidRPr="00212514" w:rsidRDefault="00F32204" w:rsidP="00F32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Pr="00212514">
        <w:rPr>
          <w:sz w:val="28"/>
          <w:szCs w:val="28"/>
        </w:rPr>
        <w:t xml:space="preserve">от 17.12.2020 № 2/3 о передаче Администрацией </w:t>
      </w:r>
      <w:r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212514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F32204" w:rsidRPr="00212514" w:rsidRDefault="00F32204" w:rsidP="00F32204">
      <w:pPr>
        <w:jc w:val="center"/>
        <w:rPr>
          <w:sz w:val="28"/>
          <w:szCs w:val="28"/>
        </w:rPr>
      </w:pPr>
    </w:p>
    <w:p w:rsidR="00F32204" w:rsidRPr="00212514" w:rsidRDefault="00F32204" w:rsidP="00F32204">
      <w:pPr>
        <w:rPr>
          <w:sz w:val="28"/>
          <w:szCs w:val="28"/>
        </w:rPr>
      </w:pPr>
      <w:r w:rsidRPr="00212514">
        <w:rPr>
          <w:sz w:val="28"/>
          <w:szCs w:val="28"/>
        </w:rPr>
        <w:t xml:space="preserve">  0</w:t>
      </w:r>
      <w:r>
        <w:rPr>
          <w:sz w:val="28"/>
          <w:szCs w:val="28"/>
        </w:rPr>
        <w:t>1</w:t>
      </w:r>
      <w:r w:rsidRPr="00212514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21251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212514">
        <w:rPr>
          <w:sz w:val="28"/>
          <w:szCs w:val="28"/>
        </w:rPr>
        <w:t xml:space="preserve">                                            х. Лозной</w:t>
      </w:r>
    </w:p>
    <w:p w:rsidR="00F32204" w:rsidRPr="00212514" w:rsidRDefault="00F32204" w:rsidP="00F3220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32204" w:rsidRDefault="00F32204" w:rsidP="00F32204">
      <w:pPr>
        <w:ind w:firstLine="708"/>
        <w:jc w:val="both"/>
        <w:rPr>
          <w:sz w:val="28"/>
          <w:szCs w:val="28"/>
        </w:rPr>
      </w:pPr>
      <w:proofErr w:type="gramStart"/>
      <w:r w:rsidRPr="00212514">
        <w:rPr>
          <w:sz w:val="28"/>
          <w:szCs w:val="28"/>
        </w:rPr>
        <w:t xml:space="preserve">Администрация </w:t>
      </w:r>
      <w:r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поселения, в лице главы Администрации </w:t>
      </w:r>
      <w:r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Бурняшева Геннадия Александровича</w:t>
      </w:r>
      <w:r w:rsidRPr="00212514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212514">
        <w:rPr>
          <w:sz w:val="28"/>
          <w:szCs w:val="28"/>
        </w:rPr>
        <w:t xml:space="preserve"> на основании Устава, с одной стороны, именуемая в дальнейшем «Администрация поселения» и Администрация Цимлянского района, </w:t>
      </w:r>
      <w:r w:rsidRPr="007476BE">
        <w:rPr>
          <w:sz w:val="28"/>
          <w:szCs w:val="28"/>
        </w:rPr>
        <w:t xml:space="preserve">в лице </w:t>
      </w:r>
      <w:r w:rsidRPr="00E17E7F">
        <w:rPr>
          <w:sz w:val="28"/>
          <w:szCs w:val="28"/>
        </w:rPr>
        <w:t xml:space="preserve">главы Администрации Цимлянского района Ночевкиной Елены Николаевны, действующего на основании </w:t>
      </w:r>
      <w:r>
        <w:rPr>
          <w:sz w:val="28"/>
          <w:szCs w:val="28"/>
        </w:rPr>
        <w:t>Устава</w:t>
      </w:r>
      <w:r w:rsidRPr="00212514">
        <w:rPr>
          <w:sz w:val="28"/>
          <w:szCs w:val="28"/>
        </w:rPr>
        <w:t>, с другой стороны, именуемая в дальнейшем «Администрация района», совместно именуемые «Стороны», руководствуясь решением Собрания депутатов Лозновского сельского</w:t>
      </w:r>
      <w:proofErr w:type="gramEnd"/>
      <w:r w:rsidRPr="00212514">
        <w:rPr>
          <w:sz w:val="28"/>
          <w:szCs w:val="28"/>
        </w:rPr>
        <w:t xml:space="preserve"> </w:t>
      </w:r>
      <w:proofErr w:type="gramStart"/>
      <w:r w:rsidRPr="00212514">
        <w:rPr>
          <w:sz w:val="28"/>
          <w:szCs w:val="28"/>
        </w:rPr>
        <w:t xml:space="preserve">поселения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Цимлянского района и Администрацией Цимлянского района», заключили настоящее </w:t>
      </w:r>
      <w:r>
        <w:rPr>
          <w:sz w:val="28"/>
          <w:szCs w:val="28"/>
        </w:rPr>
        <w:t>д</w:t>
      </w:r>
      <w:r w:rsidRPr="00212514">
        <w:rPr>
          <w:sz w:val="28"/>
          <w:szCs w:val="28"/>
        </w:rPr>
        <w:t xml:space="preserve">ополнительное соглашение к Соглашению о передаче Администрацией </w:t>
      </w:r>
      <w:r w:rsidRPr="00212514">
        <w:rPr>
          <w:bCs/>
          <w:sz w:val="28"/>
          <w:szCs w:val="28"/>
        </w:rPr>
        <w:t>Лозновского</w:t>
      </w:r>
      <w:r>
        <w:rPr>
          <w:bCs/>
          <w:sz w:val="28"/>
          <w:szCs w:val="28"/>
        </w:rPr>
        <w:t xml:space="preserve"> </w:t>
      </w:r>
      <w:r w:rsidRPr="00212514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212514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proofErr w:type="gramEnd"/>
      <w:r w:rsidRPr="00212514">
        <w:rPr>
          <w:color w:val="000000"/>
          <w:spacing w:val="-3"/>
          <w:sz w:val="28"/>
          <w:szCs w:val="24"/>
          <w:lang w:eastAsia="ar-SA"/>
        </w:rPr>
        <w:t xml:space="preserve"> </w:t>
      </w:r>
      <w:r w:rsidRPr="00212514">
        <w:rPr>
          <w:sz w:val="28"/>
          <w:szCs w:val="28"/>
        </w:rPr>
        <w:t>от 17.12.2020 № 2/3 (дале</w:t>
      </w:r>
      <w:proofErr w:type="gramStart"/>
      <w:r w:rsidRPr="00212514">
        <w:rPr>
          <w:sz w:val="28"/>
          <w:szCs w:val="28"/>
        </w:rPr>
        <w:t>е-</w:t>
      </w:r>
      <w:proofErr w:type="gramEnd"/>
      <w:r w:rsidRPr="00212514">
        <w:rPr>
          <w:sz w:val="28"/>
          <w:szCs w:val="28"/>
        </w:rPr>
        <w:t xml:space="preserve"> Соглашение) о</w:t>
      </w:r>
      <w:r>
        <w:rPr>
          <w:sz w:val="28"/>
          <w:szCs w:val="28"/>
        </w:rPr>
        <w:t xml:space="preserve"> нижеследующем:</w:t>
      </w:r>
    </w:p>
    <w:p w:rsidR="00F32204" w:rsidRDefault="00F32204" w:rsidP="00F32204">
      <w:pPr>
        <w:ind w:firstLine="708"/>
        <w:jc w:val="both"/>
        <w:rPr>
          <w:sz w:val="28"/>
          <w:szCs w:val="28"/>
        </w:rPr>
      </w:pPr>
    </w:p>
    <w:p w:rsidR="00F32204" w:rsidRDefault="00F32204" w:rsidP="00F322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F32204" w:rsidRPr="002E7338" w:rsidRDefault="00F32204" w:rsidP="00F3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</w:t>
      </w:r>
      <w:r w:rsidRPr="002E7338">
        <w:rPr>
          <w:sz w:val="28"/>
          <w:szCs w:val="28"/>
        </w:rPr>
        <w:t>Пункт 3.4</w:t>
      </w:r>
      <w:r>
        <w:rPr>
          <w:sz w:val="28"/>
          <w:szCs w:val="28"/>
        </w:rPr>
        <w:t>.</w:t>
      </w:r>
      <w:r w:rsidRPr="002E7338">
        <w:rPr>
          <w:sz w:val="28"/>
          <w:szCs w:val="28"/>
        </w:rPr>
        <w:t xml:space="preserve"> раздела 3 изложить в </w:t>
      </w:r>
      <w:r>
        <w:rPr>
          <w:sz w:val="28"/>
          <w:szCs w:val="28"/>
        </w:rPr>
        <w:t>новой</w:t>
      </w:r>
      <w:r w:rsidRPr="002E7338">
        <w:rPr>
          <w:sz w:val="28"/>
          <w:szCs w:val="28"/>
        </w:rPr>
        <w:t xml:space="preserve"> редакции: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F32204" w:rsidRPr="002E7338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66,9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72,0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83,1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91,2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91,2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2027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91,2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</w:p>
    <w:p w:rsidR="00F32204" w:rsidRDefault="00F32204" w:rsidP="00F3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F32204" w:rsidRDefault="00F32204" w:rsidP="00F3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F32204" w:rsidRDefault="00F32204" w:rsidP="00F322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1764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1764E">
        <w:rPr>
          <w:rFonts w:ascii="Times New Roman" w:hAnsi="Times New Roman"/>
          <w:sz w:val="28"/>
          <w:szCs w:val="28"/>
        </w:rPr>
        <w:t xml:space="preserve">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F32204" w:rsidRDefault="00F32204" w:rsidP="00F32204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204" w:rsidRPr="00442BE0" w:rsidRDefault="00F32204" w:rsidP="00F32204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lastRenderedPageBreak/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F32204" w:rsidRDefault="00F32204" w:rsidP="00F32204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F32204" w:rsidRPr="00865FA2" w:rsidRDefault="00F32204" w:rsidP="00F32204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/>
      </w:tblPr>
      <w:tblGrid>
        <w:gridCol w:w="4799"/>
        <w:gridCol w:w="4982"/>
      </w:tblGrid>
      <w:tr w:rsidR="00F32204" w:rsidTr="00193672">
        <w:trPr>
          <w:trHeight w:val="1479"/>
        </w:trPr>
        <w:tc>
          <w:tcPr>
            <w:tcW w:w="4799" w:type="dxa"/>
            <w:shd w:val="clear" w:color="auto" w:fill="auto"/>
          </w:tcPr>
          <w:p w:rsidR="00F32204" w:rsidRPr="00212514" w:rsidRDefault="00F32204" w:rsidP="00193672">
            <w:pPr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 xml:space="preserve">Глава Администрации </w:t>
            </w:r>
            <w:r w:rsidRPr="00212514">
              <w:rPr>
                <w:sz w:val="28"/>
                <w:szCs w:val="28"/>
                <w:lang w:eastAsia="ar-SA"/>
              </w:rPr>
              <w:t>Лозновского</w:t>
            </w:r>
          </w:p>
          <w:p w:rsidR="00F32204" w:rsidRPr="00212514" w:rsidRDefault="00F32204" w:rsidP="00193672">
            <w:pPr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сельского поселения</w:t>
            </w:r>
          </w:p>
          <w:p w:rsidR="00F32204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Pr="00212514" w:rsidRDefault="00F32204" w:rsidP="00193672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Г.А. Бурняшев</w:t>
            </w:r>
          </w:p>
        </w:tc>
        <w:tc>
          <w:tcPr>
            <w:tcW w:w="4982" w:type="dxa"/>
            <w:shd w:val="clear" w:color="auto" w:fill="auto"/>
          </w:tcPr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F32204" w:rsidRPr="00212514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Pr="00212514" w:rsidRDefault="00F32204" w:rsidP="00193672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</w:p>
        </w:tc>
      </w:tr>
      <w:tr w:rsidR="00F32204" w:rsidRPr="00212B8D" w:rsidTr="00193672">
        <w:trPr>
          <w:trHeight w:val="1479"/>
        </w:trPr>
        <w:tc>
          <w:tcPr>
            <w:tcW w:w="4799" w:type="dxa"/>
            <w:shd w:val="clear" w:color="auto" w:fill="auto"/>
          </w:tcPr>
          <w:p w:rsidR="00F32204" w:rsidRPr="00212B8D" w:rsidRDefault="00F32204" w:rsidP="00193672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4982" w:type="dxa"/>
            <w:shd w:val="clear" w:color="auto" w:fill="auto"/>
          </w:tcPr>
          <w:p w:rsidR="00F32204" w:rsidRPr="00212B8D" w:rsidRDefault="00F32204" w:rsidP="00193672">
            <w:pPr>
              <w:jc w:val="both"/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</w:tr>
    </w:tbl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2204" w:rsidRDefault="00F32204" w:rsidP="00F3220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  <w:sectPr w:rsidR="00F32204" w:rsidSect="00F32204">
          <w:pgSz w:w="11906" w:h="16838"/>
          <w:pgMar w:top="709" w:right="992" w:bottom="1134" w:left="1134" w:header="709" w:footer="709" w:gutter="0"/>
          <w:cols w:space="708"/>
          <w:docGrid w:linePitch="360"/>
        </w:sectPr>
      </w:pPr>
    </w:p>
    <w:p w:rsidR="00F32204" w:rsidRDefault="00F32204" w:rsidP="00F32204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32204" w:rsidRDefault="00F32204" w:rsidP="00F32204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F32204" w:rsidRPr="00E8140D" w:rsidRDefault="00F32204" w:rsidP="00F32204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F32204" w:rsidRPr="006B5F82" w:rsidRDefault="00F32204" w:rsidP="00F32204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F32204" w:rsidRPr="006B5F82" w:rsidRDefault="00F32204" w:rsidP="00F32204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3</w:t>
      </w:r>
    </w:p>
    <w:p w:rsidR="00F32204" w:rsidRDefault="00F32204" w:rsidP="00F32204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F32204" w:rsidRPr="006B5F82" w:rsidRDefault="00F32204" w:rsidP="00F32204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F32204" w:rsidRPr="006B5F82" w:rsidRDefault="00F32204" w:rsidP="00F32204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63"/>
        <w:gridCol w:w="1005"/>
        <w:gridCol w:w="838"/>
        <w:gridCol w:w="1897"/>
        <w:gridCol w:w="2900"/>
      </w:tblGrid>
      <w:tr w:rsidR="00F32204" w:rsidRPr="006B5F82" w:rsidTr="00193672">
        <w:trPr>
          <w:gridAfter w:val="1"/>
          <w:wAfter w:w="2900" w:type="dxa"/>
          <w:trHeight w:val="345"/>
        </w:trPr>
        <w:tc>
          <w:tcPr>
            <w:tcW w:w="2694" w:type="dxa"/>
            <w:vMerge w:val="restart"/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4"/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F32204" w:rsidRPr="006B5F82" w:rsidTr="00193672">
        <w:trPr>
          <w:gridAfter w:val="1"/>
          <w:wAfter w:w="2900" w:type="dxa"/>
          <w:trHeight w:val="34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F32204" w:rsidRPr="006B5F82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04" w:rsidRPr="001A5767" w:rsidRDefault="00F32204" w:rsidP="0019367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7 600,0</w:t>
            </w:r>
          </w:p>
        </w:tc>
      </w:tr>
      <w:tr w:rsidR="00F32204" w:rsidRPr="006B5F82" w:rsidTr="00193672">
        <w:trPr>
          <w:gridAfter w:val="1"/>
          <w:wAfter w:w="290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6B5F82" w:rsidRDefault="00F32204" w:rsidP="00193672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C0C">
              <w:rPr>
                <w:rFonts w:eastAsia="Calibri"/>
                <w:sz w:val="28"/>
                <w:szCs w:val="28"/>
              </w:rPr>
              <w:t>91 200,0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91 200,0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204" w:rsidRPr="00212C0C" w:rsidRDefault="00F32204" w:rsidP="00193672">
            <w:pPr>
              <w:jc w:val="center"/>
            </w:pPr>
            <w:r w:rsidRPr="00212C0C">
              <w:rPr>
                <w:rFonts w:eastAsia="Calibri"/>
                <w:sz w:val="28"/>
                <w:szCs w:val="28"/>
              </w:rPr>
              <w:t>91 200,0</w:t>
            </w:r>
          </w:p>
        </w:tc>
      </w:tr>
      <w:tr w:rsidR="00F32204" w:rsidTr="0019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662" w:type="dxa"/>
            <w:gridSpan w:val="3"/>
            <w:shd w:val="clear" w:color="auto" w:fill="auto"/>
          </w:tcPr>
          <w:p w:rsidR="00F32204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Лозновского</w:t>
            </w: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 сельского поселения</w:t>
            </w: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Г.А.Бурняшев</w:t>
            </w:r>
          </w:p>
          <w:p w:rsidR="00F32204" w:rsidRPr="00C511D0" w:rsidRDefault="00F32204" w:rsidP="00193672">
            <w:pPr>
              <w:rPr>
                <w:sz w:val="28"/>
                <w:szCs w:val="28"/>
              </w:rPr>
            </w:pPr>
          </w:p>
          <w:p w:rsidR="00F32204" w:rsidRPr="00C511D0" w:rsidRDefault="00F32204" w:rsidP="00193672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3"/>
            <w:shd w:val="clear" w:color="auto" w:fill="auto"/>
          </w:tcPr>
          <w:p w:rsidR="00F32204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F32204" w:rsidRPr="008655C9" w:rsidRDefault="00F32204" w:rsidP="00193672">
            <w:pPr>
              <w:jc w:val="both"/>
              <w:rPr>
                <w:sz w:val="28"/>
                <w:szCs w:val="28"/>
              </w:rPr>
            </w:pPr>
          </w:p>
          <w:p w:rsidR="00F32204" w:rsidRDefault="00F32204" w:rsidP="00193672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  <w:r w:rsidRPr="008655C9">
              <w:rPr>
                <w:sz w:val="28"/>
                <w:szCs w:val="28"/>
              </w:rPr>
              <w:t xml:space="preserve"> </w:t>
            </w:r>
          </w:p>
          <w:p w:rsidR="00F32204" w:rsidRPr="00D47F4B" w:rsidRDefault="00F32204" w:rsidP="00193672">
            <w:pPr>
              <w:jc w:val="both"/>
              <w:rPr>
                <w:sz w:val="28"/>
                <w:szCs w:val="28"/>
              </w:rPr>
            </w:pPr>
          </w:p>
        </w:tc>
      </w:tr>
    </w:tbl>
    <w:p w:rsidR="00F32204" w:rsidRDefault="00F32204" w:rsidP="00F32204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F32204" w:rsidRPr="00666250" w:rsidRDefault="00F32204" w:rsidP="00F32204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F32204" w:rsidRDefault="00F32204" w:rsidP="00F32204"/>
    <w:p w:rsidR="002D5943" w:rsidRDefault="002D5943" w:rsidP="00F32204">
      <w:pPr>
        <w:jc w:val="center"/>
        <w:rPr>
          <w:sz w:val="28"/>
          <w:szCs w:val="28"/>
        </w:rPr>
      </w:pPr>
    </w:p>
    <w:sectPr w:rsidR="002D5943" w:rsidSect="00F32204">
      <w:pgSz w:w="11906" w:h="16838"/>
      <w:pgMar w:top="56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A3" w:rsidRDefault="00D226A3" w:rsidP="00132B58">
      <w:r>
        <w:separator/>
      </w:r>
    </w:p>
  </w:endnote>
  <w:endnote w:type="continuationSeparator" w:id="0">
    <w:p w:rsidR="00D226A3" w:rsidRDefault="00D226A3" w:rsidP="0013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A3" w:rsidRDefault="00D226A3" w:rsidP="00132B58">
      <w:r>
        <w:separator/>
      </w:r>
    </w:p>
  </w:footnote>
  <w:footnote w:type="continuationSeparator" w:id="0">
    <w:p w:rsidR="00D226A3" w:rsidRDefault="00D226A3" w:rsidP="00132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F8"/>
    <w:rsid w:val="000305E8"/>
    <w:rsid w:val="00031C6C"/>
    <w:rsid w:val="000326D9"/>
    <w:rsid w:val="00080957"/>
    <w:rsid w:val="00083D0D"/>
    <w:rsid w:val="00096A15"/>
    <w:rsid w:val="00105FF6"/>
    <w:rsid w:val="001279A0"/>
    <w:rsid w:val="00132B58"/>
    <w:rsid w:val="001A55E9"/>
    <w:rsid w:val="001D4933"/>
    <w:rsid w:val="002003FD"/>
    <w:rsid w:val="00212514"/>
    <w:rsid w:val="00245153"/>
    <w:rsid w:val="00272BB9"/>
    <w:rsid w:val="002B7233"/>
    <w:rsid w:val="002D5943"/>
    <w:rsid w:val="002D6802"/>
    <w:rsid w:val="002E7338"/>
    <w:rsid w:val="002E75F8"/>
    <w:rsid w:val="00325D89"/>
    <w:rsid w:val="00341A3E"/>
    <w:rsid w:val="00366ABB"/>
    <w:rsid w:val="003B1877"/>
    <w:rsid w:val="003D162C"/>
    <w:rsid w:val="003D4546"/>
    <w:rsid w:val="0047346E"/>
    <w:rsid w:val="004A2464"/>
    <w:rsid w:val="00500DDB"/>
    <w:rsid w:val="0054099B"/>
    <w:rsid w:val="005D415C"/>
    <w:rsid w:val="005F08E2"/>
    <w:rsid w:val="0060251A"/>
    <w:rsid w:val="006461E5"/>
    <w:rsid w:val="00670AFD"/>
    <w:rsid w:val="00714288"/>
    <w:rsid w:val="007863D4"/>
    <w:rsid w:val="007968A9"/>
    <w:rsid w:val="007E28F8"/>
    <w:rsid w:val="0086197E"/>
    <w:rsid w:val="008630DF"/>
    <w:rsid w:val="008E71BB"/>
    <w:rsid w:val="008F7ED4"/>
    <w:rsid w:val="009711C0"/>
    <w:rsid w:val="00997035"/>
    <w:rsid w:val="009B6ED2"/>
    <w:rsid w:val="00A56F63"/>
    <w:rsid w:val="00A653C1"/>
    <w:rsid w:val="00B12A99"/>
    <w:rsid w:val="00B130C7"/>
    <w:rsid w:val="00B63F0D"/>
    <w:rsid w:val="00B945F7"/>
    <w:rsid w:val="00C04E09"/>
    <w:rsid w:val="00C5614E"/>
    <w:rsid w:val="00CC7942"/>
    <w:rsid w:val="00D172A3"/>
    <w:rsid w:val="00D226A3"/>
    <w:rsid w:val="00D36044"/>
    <w:rsid w:val="00D92FFA"/>
    <w:rsid w:val="00DF2F8E"/>
    <w:rsid w:val="00E206D6"/>
    <w:rsid w:val="00E21C4B"/>
    <w:rsid w:val="00E606ED"/>
    <w:rsid w:val="00E64C59"/>
    <w:rsid w:val="00E86777"/>
    <w:rsid w:val="00EB45BB"/>
    <w:rsid w:val="00F32204"/>
    <w:rsid w:val="00F6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D16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162C"/>
  </w:style>
  <w:style w:type="character" w:customStyle="1" w:styleId="a9">
    <w:name w:val="Текст примечания Знак"/>
    <w:basedOn w:val="a0"/>
    <w:link w:val="a8"/>
    <w:uiPriority w:val="99"/>
    <w:semiHidden/>
    <w:rsid w:val="003D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16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1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D16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162C"/>
  </w:style>
  <w:style w:type="character" w:customStyle="1" w:styleId="a9">
    <w:name w:val="Текст примечания Знак"/>
    <w:basedOn w:val="a0"/>
    <w:link w:val="a8"/>
    <w:uiPriority w:val="99"/>
    <w:semiHidden/>
    <w:rsid w:val="003D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16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1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Пользователь Windows</cp:lastModifiedBy>
  <cp:revision>2</cp:revision>
  <cp:lastPrinted>2022-11-02T07:49:00Z</cp:lastPrinted>
  <dcterms:created xsi:type="dcterms:W3CDTF">2024-12-26T05:28:00Z</dcterms:created>
  <dcterms:modified xsi:type="dcterms:W3CDTF">2024-12-26T05:28:00Z</dcterms:modified>
</cp:coreProperties>
</file>